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4B" w:rsidRDefault="007B6B4B" w:rsidP="007B6B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46"/>
          <w:szCs w:val="46"/>
        </w:rPr>
      </w:pPr>
      <w:r>
        <w:rPr>
          <w:rFonts w:ascii="Tahoma" w:hAnsi="Tahoma" w:cs="Tahoma"/>
          <w:color w:val="003365"/>
          <w:sz w:val="46"/>
          <w:szCs w:val="46"/>
        </w:rPr>
        <w:t>The Supreme Court rules on the</w:t>
      </w:r>
    </w:p>
    <w:p w:rsidR="007B6B4B" w:rsidRDefault="007B6B4B" w:rsidP="007B6B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3365"/>
          <w:sz w:val="46"/>
          <w:szCs w:val="46"/>
        </w:rPr>
      </w:pPr>
      <w:r>
        <w:rPr>
          <w:rFonts w:ascii="Tahoma" w:hAnsi="Tahoma" w:cs="Tahoma"/>
          <w:color w:val="003365"/>
          <w:sz w:val="46"/>
          <w:szCs w:val="46"/>
        </w:rPr>
        <w:t>Affordable Care Act</w:t>
      </w:r>
    </w:p>
    <w:p w:rsidR="007B6B4B" w:rsidRDefault="007B6B4B" w:rsidP="007B6B4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FFFFFF"/>
        </w:rPr>
      </w:pPr>
      <w:r>
        <w:rPr>
          <w:rFonts w:ascii="GillSansMT" w:hAnsi="GillSansMT" w:cs="GillSansMT"/>
          <w:color w:val="FFFFFF"/>
        </w:rPr>
        <w:t>Employee STD durations</w:t>
      </w:r>
    </w:p>
    <w:p w:rsidR="007B6B4B" w:rsidRDefault="007B6B4B" w:rsidP="007B6B4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FFFFFF"/>
          <w:sz w:val="15"/>
          <w:szCs w:val="15"/>
        </w:rPr>
      </w:pPr>
      <w:r>
        <w:rPr>
          <w:rFonts w:ascii="GillSansMT" w:hAnsi="GillSansMT" w:cs="GillSansMT"/>
          <w:color w:val="FFFFFF"/>
        </w:rPr>
        <w:t xml:space="preserve"> TeleGuard</w:t>
      </w:r>
      <w:r>
        <w:rPr>
          <w:rFonts w:ascii="GillSansMT" w:hAnsi="GillSansMT" w:cs="GillSansMT"/>
          <w:color w:val="FFFFFF"/>
          <w:sz w:val="15"/>
          <w:szCs w:val="15"/>
        </w:rPr>
        <w:t>4</w:t>
      </w:r>
    </w:p>
    <w:p w:rsidR="007B6B4B" w:rsidRDefault="007B6B4B" w:rsidP="007B6B4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838383"/>
          <w:sz w:val="21"/>
          <w:szCs w:val="21"/>
        </w:rPr>
      </w:pPr>
      <w:r>
        <w:rPr>
          <w:rFonts w:ascii="Tahoma" w:hAnsi="Tahoma" w:cs="Tahoma"/>
          <w:color w:val="838383"/>
          <w:sz w:val="21"/>
          <w:szCs w:val="21"/>
        </w:rPr>
        <w:t>On Thursday, June 28, The Supreme Court upheld the constitutionality of</w:t>
      </w:r>
      <w:r>
        <w:rPr>
          <w:rFonts w:ascii="Tahoma" w:hAnsi="Tahoma" w:cs="Tahoma"/>
          <w:color w:val="838383"/>
          <w:sz w:val="21"/>
          <w:szCs w:val="21"/>
        </w:rPr>
        <w:t xml:space="preserve"> </w:t>
      </w:r>
      <w:r>
        <w:rPr>
          <w:rFonts w:ascii="Tahoma" w:hAnsi="Tahoma" w:cs="Tahoma"/>
          <w:color w:val="838383"/>
          <w:sz w:val="21"/>
          <w:szCs w:val="21"/>
        </w:rPr>
        <w:t>the Affordable Care Act’s minimum coverage provision.</w:t>
      </w:r>
    </w:p>
    <w:p w:rsidR="007B6B4B" w:rsidRDefault="007B6B4B" w:rsidP="007B6B4B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color w:val="FFFFFF"/>
          <w:sz w:val="40"/>
          <w:szCs w:val="40"/>
        </w:rPr>
      </w:pPr>
      <w:r>
        <w:rPr>
          <w:rFonts w:ascii="Tahoma" w:hAnsi="Tahoma" w:cs="Tahoma"/>
          <w:b/>
          <w:bCs/>
          <w:color w:val="838383"/>
          <w:sz w:val="21"/>
          <w:szCs w:val="21"/>
        </w:rPr>
        <w:t>The Court rendered the two most controversial aspects of the</w:t>
      </w:r>
      <w:r>
        <w:rPr>
          <w:rFonts w:ascii="GillSansMT" w:hAnsi="GillSansMT" w:cs="GillSansMT"/>
          <w:color w:val="FFFFFF"/>
          <w:sz w:val="40"/>
          <w:szCs w:val="40"/>
        </w:rPr>
        <w:t xml:space="preserve"> l</w:t>
      </w:r>
    </w:p>
    <w:p w:rsidR="007B6B4B" w:rsidRDefault="007B6B4B" w:rsidP="007B6B4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838383"/>
          <w:sz w:val="21"/>
          <w:szCs w:val="21"/>
        </w:rPr>
      </w:pPr>
      <w:r>
        <w:rPr>
          <w:rFonts w:ascii="Tahoma" w:hAnsi="Tahoma" w:cs="Tahoma"/>
          <w:b/>
          <w:bCs/>
          <w:color w:val="838383"/>
          <w:sz w:val="21"/>
          <w:szCs w:val="21"/>
        </w:rPr>
        <w:t>law essentially optional:</w:t>
      </w:r>
    </w:p>
    <w:p w:rsidR="007B6B4B" w:rsidRDefault="007B6B4B" w:rsidP="007B6B4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838383"/>
          <w:sz w:val="21"/>
          <w:szCs w:val="21"/>
        </w:rPr>
      </w:pPr>
    </w:p>
    <w:p w:rsidR="007B6B4B" w:rsidRDefault="007B6B4B" w:rsidP="007B6B4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838383"/>
          <w:sz w:val="21"/>
          <w:szCs w:val="21"/>
        </w:rPr>
      </w:pPr>
      <w:r>
        <w:rPr>
          <w:rFonts w:ascii="Tahoma" w:hAnsi="Tahoma" w:cs="Tahoma"/>
          <w:color w:val="838383"/>
          <w:sz w:val="21"/>
          <w:szCs w:val="21"/>
        </w:rPr>
        <w:t>(1) with respect to the individual mandate, there is no mandate; instead,</w:t>
      </w:r>
      <w:r>
        <w:rPr>
          <w:rFonts w:ascii="Tahoma" w:hAnsi="Tahoma" w:cs="Tahoma"/>
          <w:color w:val="838383"/>
          <w:sz w:val="21"/>
          <w:szCs w:val="21"/>
        </w:rPr>
        <w:t xml:space="preserve"> </w:t>
      </w:r>
      <w:r>
        <w:rPr>
          <w:rFonts w:ascii="Tahoma" w:hAnsi="Tahoma" w:cs="Tahoma"/>
          <w:color w:val="838383"/>
          <w:sz w:val="21"/>
          <w:szCs w:val="21"/>
        </w:rPr>
        <w:t>individuals have the choice of either buying insurance or paying a tax</w:t>
      </w:r>
      <w:r>
        <w:rPr>
          <w:rFonts w:ascii="Tahoma" w:hAnsi="Tahoma" w:cs="Tahoma"/>
          <w:color w:val="838383"/>
          <w:sz w:val="21"/>
          <w:szCs w:val="21"/>
        </w:rPr>
        <w:t xml:space="preserve"> </w:t>
      </w:r>
      <w:r>
        <w:rPr>
          <w:rFonts w:ascii="Tahoma" w:hAnsi="Tahoma" w:cs="Tahoma"/>
          <w:color w:val="838383"/>
          <w:sz w:val="21"/>
          <w:szCs w:val="21"/>
        </w:rPr>
        <w:t>on their non-insured status; and</w:t>
      </w:r>
    </w:p>
    <w:p w:rsidR="007B6B4B" w:rsidRDefault="007B6B4B" w:rsidP="007B6B4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838383"/>
          <w:sz w:val="21"/>
          <w:szCs w:val="21"/>
        </w:rPr>
      </w:pPr>
    </w:p>
    <w:p w:rsidR="007B6B4B" w:rsidRDefault="007B6B4B" w:rsidP="007B6B4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838383"/>
          <w:sz w:val="21"/>
          <w:szCs w:val="21"/>
        </w:rPr>
      </w:pPr>
      <w:r>
        <w:rPr>
          <w:rFonts w:ascii="Tahoma" w:hAnsi="Tahoma" w:cs="Tahoma"/>
          <w:color w:val="838383"/>
          <w:sz w:val="21"/>
          <w:szCs w:val="21"/>
        </w:rPr>
        <w:t>(2) with respect to Medicaid, States may either accept federal funds and</w:t>
      </w:r>
      <w:r>
        <w:rPr>
          <w:rFonts w:ascii="Tahoma" w:hAnsi="Tahoma" w:cs="Tahoma"/>
          <w:color w:val="838383"/>
          <w:sz w:val="21"/>
          <w:szCs w:val="21"/>
        </w:rPr>
        <w:t xml:space="preserve"> </w:t>
      </w:r>
      <w:r>
        <w:rPr>
          <w:rFonts w:ascii="Tahoma" w:hAnsi="Tahoma" w:cs="Tahoma"/>
          <w:color w:val="838383"/>
          <w:sz w:val="21"/>
          <w:szCs w:val="21"/>
        </w:rPr>
        <w:t>cover more individuals under an expanded Medicaid program, or opt</w:t>
      </w:r>
      <w:r>
        <w:rPr>
          <w:rFonts w:ascii="Tahoma" w:hAnsi="Tahoma" w:cs="Tahoma"/>
          <w:color w:val="838383"/>
          <w:sz w:val="21"/>
          <w:szCs w:val="21"/>
        </w:rPr>
        <w:t xml:space="preserve"> </w:t>
      </w:r>
      <w:r>
        <w:rPr>
          <w:rFonts w:ascii="Tahoma" w:hAnsi="Tahoma" w:cs="Tahoma"/>
          <w:color w:val="838383"/>
          <w:sz w:val="21"/>
          <w:szCs w:val="21"/>
        </w:rPr>
        <w:t>out of that expansion and forgo the extra funding The effect of the</w:t>
      </w:r>
      <w:r>
        <w:rPr>
          <w:rFonts w:ascii="Tahoma" w:hAnsi="Tahoma" w:cs="Tahoma"/>
          <w:color w:val="838383"/>
          <w:sz w:val="21"/>
          <w:szCs w:val="21"/>
        </w:rPr>
        <w:t xml:space="preserve"> </w:t>
      </w:r>
      <w:r>
        <w:rPr>
          <w:rFonts w:ascii="Tahoma" w:hAnsi="Tahoma" w:cs="Tahoma"/>
          <w:color w:val="838383"/>
          <w:sz w:val="21"/>
          <w:szCs w:val="21"/>
        </w:rPr>
        <w:t>law on the number of individuals who opt to forgo coverage and the</w:t>
      </w:r>
      <w:r>
        <w:rPr>
          <w:rFonts w:ascii="Tahoma" w:hAnsi="Tahoma" w:cs="Tahoma"/>
          <w:color w:val="838383"/>
          <w:sz w:val="21"/>
          <w:szCs w:val="21"/>
        </w:rPr>
        <w:t xml:space="preserve"> </w:t>
      </w:r>
      <w:r>
        <w:rPr>
          <w:rFonts w:ascii="Tahoma" w:hAnsi="Tahoma" w:cs="Tahoma"/>
          <w:color w:val="838383"/>
          <w:sz w:val="21"/>
          <w:szCs w:val="21"/>
        </w:rPr>
        <w:t>number of States who opt to forgo additional federal funds under an</w:t>
      </w:r>
      <w:r>
        <w:rPr>
          <w:rFonts w:ascii="Tahoma" w:hAnsi="Tahoma" w:cs="Tahoma"/>
          <w:color w:val="838383"/>
          <w:sz w:val="21"/>
          <w:szCs w:val="21"/>
        </w:rPr>
        <w:t xml:space="preserve"> </w:t>
      </w:r>
      <w:r>
        <w:rPr>
          <w:rFonts w:ascii="Tahoma" w:hAnsi="Tahoma" w:cs="Tahoma"/>
          <w:color w:val="838383"/>
          <w:sz w:val="21"/>
          <w:szCs w:val="21"/>
        </w:rPr>
        <w:t>expanded Medicaid program remains to be seen.</w:t>
      </w:r>
    </w:p>
    <w:p w:rsidR="007B6B4B" w:rsidRDefault="007B6B4B" w:rsidP="007B6B4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838383"/>
          <w:sz w:val="21"/>
          <w:szCs w:val="21"/>
        </w:rPr>
      </w:pPr>
    </w:p>
    <w:p w:rsidR="007B6B4B" w:rsidRDefault="007B6B4B" w:rsidP="007B6B4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838383"/>
          <w:sz w:val="21"/>
          <w:szCs w:val="21"/>
        </w:rPr>
      </w:pPr>
      <w:r>
        <w:rPr>
          <w:rFonts w:ascii="Tahoma" w:hAnsi="Tahoma" w:cs="Tahoma"/>
          <w:b/>
          <w:bCs/>
          <w:color w:val="838383"/>
          <w:sz w:val="21"/>
          <w:szCs w:val="21"/>
        </w:rPr>
        <w:t>Decision Summary</w:t>
      </w:r>
    </w:p>
    <w:p w:rsidR="007B6B4B" w:rsidRDefault="007B6B4B" w:rsidP="007B6B4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838383"/>
          <w:sz w:val="21"/>
          <w:szCs w:val="21"/>
        </w:rPr>
      </w:pPr>
      <w:r>
        <w:rPr>
          <w:rFonts w:ascii="Tahoma" w:hAnsi="Tahoma" w:cs="Tahoma"/>
          <w:color w:val="838383"/>
          <w:sz w:val="21"/>
          <w:szCs w:val="21"/>
        </w:rPr>
        <w:t>By a vote of 5 to 4, the Court voted to uphold the constitutionality of the</w:t>
      </w:r>
      <w:r>
        <w:rPr>
          <w:rFonts w:ascii="Tahoma" w:hAnsi="Tahoma" w:cs="Tahoma"/>
          <w:color w:val="838383"/>
          <w:sz w:val="21"/>
          <w:szCs w:val="21"/>
        </w:rPr>
        <w:t xml:space="preserve"> </w:t>
      </w:r>
      <w:r>
        <w:rPr>
          <w:rFonts w:ascii="Tahoma" w:hAnsi="Tahoma" w:cs="Tahoma"/>
          <w:color w:val="838383"/>
          <w:sz w:val="21"/>
          <w:szCs w:val="21"/>
        </w:rPr>
        <w:t>individual mandate, as a valid exercise of Congress’s power to “lay and</w:t>
      </w:r>
      <w:r>
        <w:rPr>
          <w:rFonts w:ascii="Tahoma" w:hAnsi="Tahoma" w:cs="Tahoma"/>
          <w:color w:val="838383"/>
          <w:sz w:val="21"/>
          <w:szCs w:val="21"/>
        </w:rPr>
        <w:t xml:space="preserve"> </w:t>
      </w:r>
      <w:r>
        <w:rPr>
          <w:rFonts w:ascii="Tahoma" w:hAnsi="Tahoma" w:cs="Tahoma"/>
          <w:color w:val="838383"/>
          <w:sz w:val="21"/>
          <w:szCs w:val="21"/>
        </w:rPr>
        <w:t>collect Taxes.” Explicitly relying on the principle that “every reasonable</w:t>
      </w:r>
      <w:r>
        <w:rPr>
          <w:rFonts w:ascii="Tahoma" w:hAnsi="Tahoma" w:cs="Tahoma"/>
          <w:color w:val="838383"/>
          <w:sz w:val="21"/>
          <w:szCs w:val="21"/>
        </w:rPr>
        <w:t xml:space="preserve"> </w:t>
      </w:r>
      <w:r>
        <w:rPr>
          <w:rFonts w:ascii="Tahoma" w:hAnsi="Tahoma" w:cs="Tahoma"/>
          <w:color w:val="838383"/>
          <w:sz w:val="21"/>
          <w:szCs w:val="21"/>
        </w:rPr>
        <w:t>construction must be resorted to, in order to save a statute from</w:t>
      </w:r>
      <w:r>
        <w:rPr>
          <w:rFonts w:ascii="Tahoma" w:hAnsi="Tahoma" w:cs="Tahoma"/>
          <w:color w:val="838383"/>
          <w:sz w:val="21"/>
          <w:szCs w:val="21"/>
        </w:rPr>
        <w:t xml:space="preserve"> </w:t>
      </w:r>
      <w:r>
        <w:rPr>
          <w:rFonts w:ascii="Tahoma" w:hAnsi="Tahoma" w:cs="Tahoma"/>
          <w:color w:val="838383"/>
          <w:sz w:val="21"/>
          <w:szCs w:val="21"/>
        </w:rPr>
        <w:t>unconstitutionality,” the Court held ”[t]he Federal Government does have</w:t>
      </w:r>
      <w:r>
        <w:rPr>
          <w:rFonts w:ascii="Tahoma" w:hAnsi="Tahoma" w:cs="Tahoma"/>
          <w:color w:val="838383"/>
          <w:sz w:val="21"/>
          <w:szCs w:val="21"/>
        </w:rPr>
        <w:t xml:space="preserve"> </w:t>
      </w:r>
      <w:r>
        <w:rPr>
          <w:rFonts w:ascii="Tahoma" w:hAnsi="Tahoma" w:cs="Tahoma"/>
          <w:color w:val="838383"/>
          <w:sz w:val="21"/>
          <w:szCs w:val="21"/>
        </w:rPr>
        <w:t>the power to impose a tax on those without health insurance,” and that</w:t>
      </w:r>
      <w:r>
        <w:rPr>
          <w:rFonts w:ascii="Tahoma" w:hAnsi="Tahoma" w:cs="Tahoma"/>
          <w:color w:val="838383"/>
          <w:sz w:val="21"/>
          <w:szCs w:val="21"/>
        </w:rPr>
        <w:t xml:space="preserve"> </w:t>
      </w:r>
      <w:r>
        <w:rPr>
          <w:rFonts w:ascii="Tahoma" w:hAnsi="Tahoma" w:cs="Tahoma"/>
          <w:color w:val="838383"/>
          <w:sz w:val="21"/>
          <w:szCs w:val="21"/>
        </w:rPr>
        <w:t>the minimum coverage provision can be upheld as a “tax,” notwithstanding</w:t>
      </w:r>
      <w:r>
        <w:rPr>
          <w:rFonts w:ascii="Tahoma" w:hAnsi="Tahoma" w:cs="Tahoma"/>
          <w:color w:val="838383"/>
          <w:sz w:val="21"/>
          <w:szCs w:val="21"/>
        </w:rPr>
        <w:t xml:space="preserve"> </w:t>
      </w:r>
      <w:r>
        <w:rPr>
          <w:rFonts w:ascii="Tahoma" w:hAnsi="Tahoma" w:cs="Tahoma"/>
          <w:color w:val="838383"/>
          <w:sz w:val="21"/>
          <w:szCs w:val="21"/>
        </w:rPr>
        <w:t>that Congress labeled it a “penalty.”</w:t>
      </w:r>
    </w:p>
    <w:p w:rsidR="007B6B4B" w:rsidRDefault="007B6B4B" w:rsidP="007B6B4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838383"/>
          <w:sz w:val="21"/>
          <w:szCs w:val="21"/>
        </w:rPr>
      </w:pPr>
    </w:p>
    <w:p w:rsidR="00656A00" w:rsidRDefault="007B6B4B" w:rsidP="007B6B4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838383"/>
          <w:sz w:val="21"/>
          <w:szCs w:val="21"/>
        </w:rPr>
      </w:pPr>
      <w:r>
        <w:rPr>
          <w:rFonts w:ascii="Tahoma" w:hAnsi="Tahoma" w:cs="Tahoma"/>
          <w:color w:val="838383"/>
          <w:sz w:val="21"/>
          <w:szCs w:val="21"/>
        </w:rPr>
        <w:t>As a consequence, “[t]hose subject to the individual mandate may</w:t>
      </w:r>
      <w:r>
        <w:rPr>
          <w:rFonts w:ascii="Tahoma" w:hAnsi="Tahoma" w:cs="Tahoma"/>
          <w:color w:val="838383"/>
          <w:sz w:val="21"/>
          <w:szCs w:val="21"/>
        </w:rPr>
        <w:t xml:space="preserve"> </w:t>
      </w:r>
      <w:r>
        <w:rPr>
          <w:rFonts w:ascii="Tahoma" w:hAnsi="Tahoma" w:cs="Tahoma"/>
          <w:color w:val="838383"/>
          <w:sz w:val="21"/>
          <w:szCs w:val="21"/>
        </w:rPr>
        <w:t>lawfully forgo health insurance and pay higher taxes, or buy health</w:t>
      </w:r>
      <w:r>
        <w:rPr>
          <w:rFonts w:ascii="Tahoma" w:hAnsi="Tahoma" w:cs="Tahoma"/>
          <w:color w:val="838383"/>
          <w:sz w:val="21"/>
          <w:szCs w:val="21"/>
        </w:rPr>
        <w:t xml:space="preserve"> </w:t>
      </w:r>
      <w:r>
        <w:rPr>
          <w:rFonts w:ascii="Tahoma" w:hAnsi="Tahoma" w:cs="Tahoma"/>
          <w:color w:val="838383"/>
          <w:sz w:val="21"/>
          <w:szCs w:val="21"/>
        </w:rPr>
        <w:t>insurance and pay lower taxes. The only thing they may not lawfully do is</w:t>
      </w:r>
      <w:r>
        <w:rPr>
          <w:rFonts w:ascii="Tahoma" w:hAnsi="Tahoma" w:cs="Tahoma"/>
          <w:color w:val="838383"/>
          <w:sz w:val="21"/>
          <w:szCs w:val="21"/>
        </w:rPr>
        <w:t xml:space="preserve"> </w:t>
      </w:r>
      <w:r>
        <w:rPr>
          <w:rFonts w:ascii="Tahoma" w:hAnsi="Tahoma" w:cs="Tahoma"/>
          <w:color w:val="838383"/>
          <w:sz w:val="21"/>
          <w:szCs w:val="21"/>
        </w:rPr>
        <w:t>not buy health insurance and not pay the resulting tax.”</w:t>
      </w:r>
    </w:p>
    <w:p w:rsidR="007B6B4B" w:rsidRDefault="007B6B4B" w:rsidP="007B6B4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838383"/>
          <w:sz w:val="21"/>
          <w:szCs w:val="21"/>
        </w:rPr>
      </w:pPr>
    </w:p>
    <w:p w:rsidR="007B6B4B" w:rsidRDefault="007B6B4B" w:rsidP="007B6B4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838383"/>
          <w:sz w:val="21"/>
          <w:szCs w:val="21"/>
        </w:rPr>
      </w:pPr>
    </w:p>
    <w:p w:rsidR="007B6B4B" w:rsidRPr="007B6B4B" w:rsidRDefault="007B6B4B" w:rsidP="007B6B4B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bookmarkStart w:id="0" w:name="_GoBack"/>
      <w:r w:rsidRPr="007B6B4B">
        <w:rPr>
          <w:rFonts w:ascii="Tahoma" w:hAnsi="Tahoma" w:cs="Tahoma"/>
          <w:i/>
          <w:color w:val="838383"/>
          <w:sz w:val="21"/>
          <w:szCs w:val="21"/>
        </w:rPr>
        <w:t>The information above was obtained from an electronic newsletter sent by The Guardian Life Insurance Company on July 3, 2012.</w:t>
      </w:r>
      <w:bookmarkEnd w:id="0"/>
    </w:p>
    <w:sectPr w:rsidR="007B6B4B" w:rsidRPr="007B6B4B" w:rsidSect="007B6B4B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4B"/>
    <w:rsid w:val="00656A00"/>
    <w:rsid w:val="007B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Daniel</dc:creator>
  <cp:lastModifiedBy>Joe Daniel</cp:lastModifiedBy>
  <cp:revision>1</cp:revision>
  <dcterms:created xsi:type="dcterms:W3CDTF">2012-07-03T17:00:00Z</dcterms:created>
  <dcterms:modified xsi:type="dcterms:W3CDTF">2012-07-03T17:09:00Z</dcterms:modified>
</cp:coreProperties>
</file>